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Barlow" w:cs="Barlow" w:eastAsia="Barlow" w:hAnsi="Barlow"/>
        </w:rPr>
      </w:pPr>
      <w:r w:rsidDel="00000000" w:rsidR="00000000" w:rsidRPr="00000000">
        <w:rPr>
          <w:rtl w:val="0"/>
        </w:rPr>
      </w:r>
    </w:p>
    <w:p w:rsidR="00000000" w:rsidDel="00000000" w:rsidP="00000000" w:rsidRDefault="00000000" w:rsidRPr="00000000" w14:paraId="00000002">
      <w:pPr>
        <w:jc w:val="both"/>
        <w:rPr>
          <w:rFonts w:ascii="Barlow" w:cs="Barlow" w:eastAsia="Barlow" w:hAnsi="Barlow"/>
          <w:b w:val="1"/>
          <w:bCs w:val="1"/>
        </w:rPr>
      </w:pPr>
      <w:r w:rsidDel="00000000" w:rsidR="00000000" w:rsidRPr="00000000">
        <w:rPr>
          <w:rFonts w:ascii="Barlow" w:cs="Barlow" w:eastAsia="Barlow" w:hAnsi="Barlow"/>
          <w:b w:val="1"/>
          <w:bCs w:val="1"/>
          <w:rtl w:val="0"/>
        </w:rPr>
        <w:t xml:space="preserve">Les revenus accessoires</w:t>
      </w:r>
    </w:p>
    <w:p w:rsidR="00000000" w:rsidDel="00000000" w:rsidP="00000000" w:rsidRDefault="00000000" w:rsidRPr="00000000" w14:paraId="00000003">
      <w:pPr>
        <w:jc w:val="both"/>
        <w:rPr>
          <w:rFonts w:ascii="Barlow" w:cs="Barlow" w:eastAsia="Barlow" w:hAnsi="Barlow"/>
        </w:rPr>
      </w:pPr>
      <w:r w:rsidDel="00000000" w:rsidR="00000000" w:rsidRPr="00000000">
        <w:rPr>
          <w:rtl w:val="0"/>
        </w:rPr>
      </w:r>
    </w:p>
    <w:p w:rsidR="00000000" w:rsidDel="00000000" w:rsidP="00000000" w:rsidRDefault="00000000" w:rsidRPr="00000000" w14:paraId="00000004">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En tant qu’artistes-auteur-ices déclaré.e.s auprès de l’Urssaf des Artistes-Auteurs (anciennement nommé URSSAF Limousin) le cadre des revenus issus de vos activités a été déterminé et révisé par </w:t>
      </w:r>
      <w:hyperlink r:id="rId6">
        <w:r w:rsidDel="00000000" w:rsidR="00000000" w:rsidRPr="00000000">
          <w:rPr>
            <w:rFonts w:ascii="Barlow" w:cs="Barlow" w:eastAsia="Barlow" w:hAnsi="Barlow"/>
            <w:color w:val="1155cc"/>
            <w:u w:val="single"/>
            <w:rtl w:val="0"/>
          </w:rPr>
          <w:t xml:space="preserve">décret le 28 août 2020</w:t>
        </w:r>
      </w:hyperlink>
      <w:r w:rsidDel="00000000" w:rsidR="00000000" w:rsidRPr="00000000">
        <w:rPr>
          <w:rFonts w:ascii="Barlow" w:cs="Barlow" w:eastAsia="Barlow" w:hAnsi="Barlow"/>
          <w:color w:val="111111"/>
          <w:rtl w:val="0"/>
        </w:rPr>
        <w:t xml:space="preserve">.</w:t>
      </w:r>
    </w:p>
    <w:p w:rsidR="00000000" w:rsidDel="00000000" w:rsidP="00000000" w:rsidRDefault="00000000" w:rsidRPr="00000000" w14:paraId="00000005">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06">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Ce décret précise :</w:t>
      </w:r>
    </w:p>
    <w:p w:rsidR="00000000" w:rsidDel="00000000" w:rsidP="00000000" w:rsidRDefault="00000000" w:rsidRPr="00000000" w14:paraId="00000007">
      <w:pPr>
        <w:jc w:val="both"/>
        <w:rPr>
          <w:rFonts w:ascii="Barlow" w:cs="Barlow" w:eastAsia="Barlow" w:hAnsi="Barlow"/>
          <w:b w:val="1"/>
          <w:bCs w:val="1"/>
          <w:color w:val="0525fe"/>
        </w:rPr>
      </w:pPr>
      <w:r w:rsidDel="00000000" w:rsidR="00000000" w:rsidRPr="00000000">
        <w:rPr>
          <w:rFonts w:ascii="Barlow" w:cs="Barlow" w:eastAsia="Barlow" w:hAnsi="Barlow"/>
          <w:b w:val="1"/>
          <w:bCs w:val="1"/>
          <w:color w:val="0525fe"/>
          <w:rtl w:val="0"/>
        </w:rPr>
        <w:t xml:space="preserve">A – Le cadre des revenus issus de l'activité artistique (au titre principal) :</w:t>
      </w:r>
    </w:p>
    <w:p w:rsidR="00000000" w:rsidDel="00000000" w:rsidP="00000000" w:rsidRDefault="00000000" w:rsidRPr="00000000" w14:paraId="00000008">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Vente ou location d’oeuvre - également issue d’un financement participatif</w:t>
      </w:r>
    </w:p>
    <w:p w:rsidR="00000000" w:rsidDel="00000000" w:rsidP="00000000" w:rsidRDefault="00000000" w:rsidRPr="00000000" w14:paraId="00000009">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Cession droits d’auteur</w:t>
      </w:r>
    </w:p>
    <w:p w:rsidR="00000000" w:rsidDel="00000000" w:rsidP="00000000" w:rsidRDefault="00000000" w:rsidRPr="00000000" w14:paraId="0000000A">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Bourse de recherche, création, production avec pour objet unique la conception, la réalisation d'une oeuvre ou la réalisation d'une exposition, la participation à un concours ou la réponse à des commandes et appels à projets publics ou privés</w:t>
      </w:r>
    </w:p>
    <w:p w:rsidR="00000000" w:rsidDel="00000000" w:rsidP="00000000" w:rsidRDefault="00000000" w:rsidRPr="00000000" w14:paraId="0000000B">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Les résidences de conception ou de production d’oeuvres</w:t>
      </w:r>
    </w:p>
    <w:p w:rsidR="00000000" w:rsidDel="00000000" w:rsidP="00000000" w:rsidRDefault="00000000" w:rsidRPr="00000000" w14:paraId="0000000C">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La lecture publique de son oeuvre, la présentation d'une ou plusieurs de ses oeuvres, la présentation de son processus de création lors de rencontres publiques et débats ou une activité de dédicace assortie de la création d'une oeuvre (en d’autre terme l’invitation faite à un artiste de présenter son ou ses oeuvres au public via une conférence / rencontre / séminaire etc / droit d’auteur pour exposition des oeuvres dans cadre exposition... )</w:t>
      </w:r>
    </w:p>
    <w:p w:rsidR="00000000" w:rsidDel="00000000" w:rsidP="00000000" w:rsidRDefault="00000000" w:rsidRPr="00000000" w14:paraId="0000000D">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La remise d'un prix ou d'une récompense pour son oeuvre</w:t>
      </w:r>
    </w:p>
    <w:p w:rsidR="00000000" w:rsidDel="00000000" w:rsidP="00000000" w:rsidRDefault="00000000" w:rsidRPr="00000000" w14:paraId="0000000E">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Prix</w:t>
      </w:r>
    </w:p>
    <w:p w:rsidR="00000000" w:rsidDel="00000000" w:rsidP="00000000" w:rsidRDefault="00000000" w:rsidRPr="00000000" w14:paraId="0000000F">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Esquisses</w:t>
      </w:r>
    </w:p>
    <w:p w:rsidR="00000000" w:rsidDel="00000000" w:rsidP="00000000" w:rsidRDefault="00000000" w:rsidRPr="00000000" w14:paraId="00000010">
      <w:pPr>
        <w:numPr>
          <w:ilvl w:val="0"/>
          <w:numId w:val="1"/>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 La conception et l'animation d'une collection éditoriale originale.</w:t>
      </w:r>
    </w:p>
    <w:p w:rsidR="00000000" w:rsidDel="00000000" w:rsidP="00000000" w:rsidRDefault="00000000" w:rsidRPr="00000000" w14:paraId="00000011">
      <w:pPr>
        <w:jc w:val="both"/>
        <w:rPr>
          <w:rFonts w:ascii="Barlow" w:cs="Barlow" w:eastAsia="Barlow" w:hAnsi="Barlow"/>
        </w:rPr>
      </w:pPr>
      <w:r w:rsidDel="00000000" w:rsidR="00000000" w:rsidRPr="00000000">
        <w:rPr>
          <w:rtl w:val="0"/>
        </w:rPr>
      </w:r>
    </w:p>
    <w:p w:rsidR="00000000" w:rsidDel="00000000" w:rsidP="00000000" w:rsidRDefault="00000000" w:rsidRPr="00000000" w14:paraId="00000012">
      <w:pPr>
        <w:jc w:val="both"/>
        <w:rPr>
          <w:rFonts w:ascii="Barlow" w:cs="Barlow" w:eastAsia="Barlow" w:hAnsi="Barlow"/>
          <w:b w:val="1"/>
          <w:bCs w:val="1"/>
          <w:color w:val="0525fe"/>
        </w:rPr>
      </w:pPr>
      <w:r w:rsidDel="00000000" w:rsidR="00000000" w:rsidRPr="00000000">
        <w:rPr>
          <w:rFonts w:ascii="Barlow" w:cs="Barlow" w:eastAsia="Barlow" w:hAnsi="Barlow"/>
          <w:b w:val="1"/>
          <w:bCs w:val="1"/>
          <w:color w:val="0525fe"/>
          <w:rtl w:val="0"/>
        </w:rPr>
        <w:t xml:space="preserve">B – Le cadre des revenus accessoires</w:t>
      </w:r>
    </w:p>
    <w:p w:rsidR="00000000" w:rsidDel="00000000" w:rsidP="00000000" w:rsidRDefault="00000000" w:rsidRPr="00000000" w14:paraId="00000013">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Les revenus accessoires sont des revenus connexes reconnus dans le cadre de l’activité artistique.</w:t>
      </w:r>
    </w:p>
    <w:p w:rsidR="00000000" w:rsidDel="00000000" w:rsidP="00000000" w:rsidRDefault="00000000" w:rsidRPr="00000000" w14:paraId="00000014">
      <w:pPr>
        <w:jc w:val="both"/>
        <w:rPr>
          <w:rFonts w:ascii="Barlow" w:cs="Barlow" w:eastAsia="Barlow" w:hAnsi="Barlow"/>
          <w:color w:val="111111"/>
        </w:rPr>
      </w:pPr>
      <w:r w:rsidDel="00000000" w:rsidR="00000000" w:rsidRPr="00000000">
        <w:rPr>
          <w:rFonts w:ascii="Barlow" w:cs="Barlow" w:eastAsia="Barlow" w:hAnsi="Barlow"/>
          <w:b w:val="1"/>
          <w:bCs w:val="1"/>
          <w:color w:val="111111"/>
          <w:rtl w:val="0"/>
        </w:rPr>
        <w:t xml:space="preserve">Ils sont plafonnés en 2025 à 14 256 €</w:t>
      </w:r>
      <w:r w:rsidDel="00000000" w:rsidR="00000000" w:rsidRPr="00000000">
        <w:rPr>
          <w:rFonts w:ascii="Barlow" w:cs="Barlow" w:eastAsia="Barlow" w:hAnsi="Barlow"/>
          <w:color w:val="111111"/>
          <w:rtl w:val="0"/>
        </w:rPr>
        <w:t xml:space="preserve"> (l</w:t>
      </w:r>
      <w:r w:rsidDel="00000000" w:rsidR="00000000" w:rsidRPr="00000000">
        <w:rPr>
          <w:rFonts w:ascii="Barlow" w:cs="Barlow" w:eastAsia="Barlow" w:hAnsi="Barlow"/>
          <w:color w:val="111111"/>
          <w:rtl w:val="0"/>
        </w:rPr>
        <w:t xml:space="preserve">es recettes des activités accessoires sont prises en compte dans le régime social des artistes-auteurs à condition de ne pas dépasser un plafond fixé à </w:t>
      </w:r>
      <w:r w:rsidDel="00000000" w:rsidR="00000000" w:rsidRPr="00000000">
        <w:rPr>
          <w:rFonts w:ascii="Barlow" w:cs="Barlow" w:eastAsia="Barlow" w:hAnsi="Barlow"/>
          <w:i w:val="1"/>
          <w:iCs w:val="1"/>
          <w:color w:val="111111"/>
          <w:rtl w:val="0"/>
        </w:rPr>
        <w:t xml:space="preserve">1 200 SMIC horaire</w:t>
      </w:r>
      <w:r w:rsidDel="00000000" w:rsidR="00000000" w:rsidRPr="00000000">
        <w:rPr>
          <w:rFonts w:ascii="Barlow" w:cs="Barlow" w:eastAsia="Barlow" w:hAnsi="Barlow"/>
          <w:color w:val="111111"/>
          <w:rtl w:val="0"/>
        </w:rPr>
        <w:t xml:space="preserve">, soit 1 200 x 11,88 €, </w:t>
      </w:r>
      <w:hyperlink r:id="rId7">
        <w:r w:rsidDel="00000000" w:rsidR="00000000" w:rsidRPr="00000000">
          <w:rPr>
            <w:rFonts w:ascii="Barlow" w:cs="Barlow" w:eastAsia="Barlow" w:hAnsi="Barlow"/>
            <w:color w:val="1155cc"/>
            <w:u w:val="single"/>
            <w:rtl w:val="0"/>
          </w:rPr>
          <w:t xml:space="preserve">source CAAP</w:t>
        </w:r>
      </w:hyperlink>
      <w:r w:rsidDel="00000000" w:rsidR="00000000" w:rsidRPr="00000000">
        <w:rPr>
          <w:rFonts w:ascii="Barlow" w:cs="Barlow" w:eastAsia="Barlow" w:hAnsi="Barlow"/>
          <w:color w:val="111111"/>
          <w:rtl w:val="0"/>
        </w:rPr>
        <w:t xml:space="preserve">).</w:t>
      </w:r>
    </w:p>
    <w:p w:rsidR="00000000" w:rsidDel="00000000" w:rsidP="00000000" w:rsidRDefault="00000000" w:rsidRPr="00000000" w14:paraId="00000015">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E</w:t>
      </w:r>
      <w:r w:rsidDel="00000000" w:rsidR="00000000" w:rsidRPr="00000000">
        <w:rPr>
          <w:rFonts w:ascii="Barlow" w:cs="Barlow" w:eastAsia="Barlow" w:hAnsi="Barlow"/>
          <w:b w:val="1"/>
          <w:bCs w:val="1"/>
          <w:color w:val="111111"/>
          <w:rtl w:val="0"/>
        </w:rPr>
        <w:t xml:space="preserve">n cas de dépassement de ce plafond</w:t>
      </w:r>
      <w:r w:rsidDel="00000000" w:rsidR="00000000" w:rsidRPr="00000000">
        <w:rPr>
          <w:rFonts w:ascii="Barlow" w:cs="Barlow" w:eastAsia="Barlow" w:hAnsi="Barlow"/>
          <w:color w:val="111111"/>
          <w:rtl w:val="0"/>
        </w:rPr>
        <w:t xml:space="preserve">, le risque encouru est une déqualification de l’activité principale - artistique par les services administratifs – d’être assimilé-e à un formateur par exemple et donc de dépendre d’un nouveau régime social et fiscal :</w:t>
      </w:r>
    </w:p>
    <w:p w:rsidR="00000000" w:rsidDel="00000000" w:rsidP="00000000" w:rsidRDefault="00000000" w:rsidRPr="00000000" w14:paraId="00000016">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Ici la grande nouveauté du décret de 2020 consiste à ne plus à considérer les différents revenus</w:t>
      </w:r>
    </w:p>
    <w:p w:rsidR="00000000" w:rsidDel="00000000" w:rsidP="00000000" w:rsidRDefault="00000000" w:rsidRPr="00000000" w14:paraId="00000017">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accessoires par typologie et de leur associer des plafonds selon leur nature mais de définir un seul et même plafond forfaitaire.</w:t>
      </w:r>
    </w:p>
    <w:p w:rsidR="00000000" w:rsidDel="00000000" w:rsidP="00000000" w:rsidRDefault="00000000" w:rsidRPr="00000000" w14:paraId="00000018">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Par ailleurs, </w:t>
      </w:r>
      <w:r w:rsidDel="00000000" w:rsidR="00000000" w:rsidRPr="00000000">
        <w:rPr>
          <w:rFonts w:ascii="Barlow" w:cs="Barlow" w:eastAsia="Barlow" w:hAnsi="Barlow"/>
          <w:color w:val="111111"/>
          <w:u w:val="single"/>
          <w:rtl w:val="0"/>
        </w:rPr>
        <w:t xml:space="preserve">tout artiste-auteur peut désormais déclarer toute activité accessoire dès 1€ de CA </w:t>
      </w:r>
      <w:r w:rsidDel="00000000" w:rsidR="00000000" w:rsidRPr="00000000">
        <w:rPr>
          <w:rFonts w:ascii="Barlow" w:cs="Barlow" w:eastAsia="Barlow" w:hAnsi="Barlow"/>
          <w:color w:val="111111"/>
          <w:rtl w:val="0"/>
        </w:rPr>
        <w:t xml:space="preserve">au lieu de la proportionnalité imposée précédemment de 50 % du CA.</w:t>
      </w:r>
    </w:p>
    <w:p w:rsidR="00000000" w:rsidDel="00000000" w:rsidP="00000000" w:rsidRDefault="00000000" w:rsidRPr="00000000" w14:paraId="00000019">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Ainsi tout Artiste-auteur peut désormais déclarer tout confondu les activités accessoires suivantes (dans la limite de 14 256€) :</w:t>
      </w:r>
    </w:p>
    <w:p w:rsidR="00000000" w:rsidDel="00000000" w:rsidP="00000000" w:rsidRDefault="00000000" w:rsidRPr="00000000" w14:paraId="0000001A">
      <w:pPr>
        <w:numPr>
          <w:ilvl w:val="0"/>
          <w:numId w:val="2"/>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Des cours donnés dans l'atelier ou le studio de l'artiste-auteur, d'ateliers artistiques ou d'écriture et de la transmission du savoir de l'artiste-auteur à ses pairs (par exemple organisation de workshops ou masterclasses)</w:t>
      </w:r>
    </w:p>
    <w:p w:rsidR="00000000" w:rsidDel="00000000" w:rsidP="00000000" w:rsidRDefault="00000000" w:rsidRPr="00000000" w14:paraId="0000001B">
      <w:pPr>
        <w:numPr>
          <w:ilvl w:val="0"/>
          <w:numId w:val="2"/>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Participation à des rencontres publiques et débats entrant dans le champ d'activité de l'artiste-auteur dès lors qu'il n'y réalise pas une présentation stricte de son ou ses œuvres. (Participation sur un sujet thématique par exemple)</w:t>
      </w:r>
    </w:p>
    <w:p w:rsidR="00000000" w:rsidDel="00000000" w:rsidP="00000000" w:rsidRDefault="00000000" w:rsidRPr="00000000" w14:paraId="0000001C">
      <w:pPr>
        <w:numPr>
          <w:ilvl w:val="0"/>
          <w:numId w:val="2"/>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Participations à la conception, au développement ou à la mise en forme de l'oeuvre d'un autre artiste-auteur qui ne constituent pas un acte de création originale &gt; en d’autre terme assistance régie ou montage d’oeuvre pour un autre artiste &gt; cela peut fonctionner par une rétrocession d’honoraire.</w:t>
      </w:r>
    </w:p>
    <w:p w:rsidR="00000000" w:rsidDel="00000000" w:rsidP="00000000" w:rsidRDefault="00000000" w:rsidRPr="00000000" w14:paraId="0000001D">
      <w:pPr>
        <w:numPr>
          <w:ilvl w:val="0"/>
          <w:numId w:val="2"/>
        </w:numPr>
        <w:ind w:left="720" w:hanging="360"/>
        <w:jc w:val="both"/>
        <w:rPr>
          <w:rFonts w:ascii="Barlow" w:cs="Barlow" w:eastAsia="Barlow" w:hAnsi="Barlow"/>
          <w:color w:val="111111"/>
          <w:u w:val="none"/>
        </w:rPr>
      </w:pPr>
      <w:r w:rsidDel="00000000" w:rsidR="00000000" w:rsidRPr="00000000">
        <w:rPr>
          <w:rFonts w:ascii="Barlow" w:cs="Barlow" w:eastAsia="Barlow" w:hAnsi="Barlow"/>
          <w:color w:val="111111"/>
          <w:rtl w:val="0"/>
        </w:rPr>
        <w:t xml:space="preserve">Représentation par l'artiste-auteur de son champ professionnel dans les instances de gouvernance (par exemple participation à des commissions AFDAS).</w:t>
      </w:r>
    </w:p>
    <w:p w:rsidR="00000000" w:rsidDel="00000000" w:rsidP="00000000" w:rsidRDefault="00000000" w:rsidRPr="00000000" w14:paraId="0000001E">
      <w:pPr>
        <w:jc w:val="both"/>
        <w:rPr>
          <w:rFonts w:ascii="Barlow" w:cs="Barlow" w:eastAsia="Barlow" w:hAnsi="Barlow"/>
        </w:rPr>
      </w:pPr>
      <w:r w:rsidDel="00000000" w:rsidR="00000000" w:rsidRPr="00000000">
        <w:rPr>
          <w:rtl w:val="0"/>
        </w:rPr>
      </w:r>
    </w:p>
    <w:p w:rsidR="00000000" w:rsidDel="00000000" w:rsidP="00000000" w:rsidRDefault="00000000" w:rsidRPr="00000000" w14:paraId="0000001F">
      <w:pPr>
        <w:jc w:val="both"/>
        <w:rPr>
          <w:rFonts w:ascii="Barlow" w:cs="Barlow" w:eastAsia="Barlow" w:hAnsi="Barlow"/>
          <w:b w:val="1"/>
          <w:bCs w:val="1"/>
          <w:color w:val="0525fe"/>
        </w:rPr>
      </w:pPr>
      <w:r w:rsidDel="00000000" w:rsidR="00000000" w:rsidRPr="00000000">
        <w:rPr>
          <w:rFonts w:ascii="Barlow" w:cs="Barlow" w:eastAsia="Barlow" w:hAnsi="Barlow"/>
          <w:b w:val="1"/>
          <w:bCs w:val="1"/>
          <w:color w:val="0525fe"/>
          <w:rtl w:val="0"/>
        </w:rPr>
        <w:t xml:space="preserve">Important </w:t>
      </w:r>
    </w:p>
    <w:p w:rsidR="00000000" w:rsidDel="00000000" w:rsidP="00000000" w:rsidRDefault="00000000" w:rsidRPr="00000000" w14:paraId="00000020">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Ces activités accessoires ne doivent en aucun cas être assimilables à du salariat (ex. : formateurs, éducateurs, animateurs socioculturels, chargés de cours et enseignants, animateurs présentateurs, consultants). Elles doivent être exercées de manière indépendante, sans lien de subordination caractérisant le salariat et doivent également présenter un caractère accessoire. Les rémunérations accessoires doivent être déclarées distinctement des autres revenus dans la déclaration sociale du diffuseur ou la déclaration sociale annuelle de l’artiste-auteur.</w:t>
      </w:r>
    </w:p>
    <w:p w:rsidR="00000000" w:rsidDel="00000000" w:rsidP="00000000" w:rsidRDefault="00000000" w:rsidRPr="00000000" w14:paraId="00000021">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22">
      <w:pPr>
        <w:jc w:val="both"/>
        <w:rPr>
          <w:rFonts w:ascii="Barlow" w:cs="Barlow" w:eastAsia="Barlow" w:hAnsi="Bar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numPr>
          <w:ilvl w:val="0"/>
          <w:numId w:val="3"/>
        </w:numPr>
        <w:ind w:left="720" w:hanging="360"/>
        <w:jc w:val="both"/>
        <w:rPr>
          <w:rFonts w:ascii="Barlow" w:cs="Barlow" w:eastAsia="Barlow" w:hAnsi="Barlow"/>
          <w:b w:val="1"/>
          <w:bCs w:val="1"/>
          <w:color w:val="0525fe"/>
        </w:rPr>
      </w:pPr>
      <w:r w:rsidDel="00000000" w:rsidR="00000000" w:rsidRPr="00000000">
        <w:rPr>
          <w:rFonts w:ascii="Barlow" w:cs="Barlow" w:eastAsia="Barlow" w:hAnsi="Barlow"/>
          <w:b w:val="1"/>
          <w:bCs w:val="1"/>
          <w:color w:val="0525fe"/>
          <w:rtl w:val="0"/>
        </w:rPr>
        <w:t xml:space="preserve">Sites ressources </w:t>
      </w:r>
    </w:p>
    <w:p w:rsidR="00000000" w:rsidDel="00000000" w:rsidP="00000000" w:rsidRDefault="00000000" w:rsidRPr="00000000" w14:paraId="00000024">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25">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La sécurité des artistes-auteurs : </w:t>
      </w:r>
      <w:hyperlink r:id="rId8">
        <w:r w:rsidDel="00000000" w:rsidR="00000000" w:rsidRPr="00000000">
          <w:rPr>
            <w:rFonts w:ascii="Barlow" w:cs="Barlow" w:eastAsia="Barlow" w:hAnsi="Barlow"/>
            <w:color w:val="1155cc"/>
            <w:u w:val="single"/>
            <w:rtl w:val="0"/>
          </w:rPr>
          <w:t xml:space="preserve">quelles activités sont considérées comme des activités accessoires ?</w:t>
        </w:r>
      </w:hyperlink>
      <w:r w:rsidDel="00000000" w:rsidR="00000000" w:rsidRPr="00000000">
        <w:rPr>
          <w:rFonts w:ascii="Barlow" w:cs="Barlow" w:eastAsia="Barlow" w:hAnsi="Barlow"/>
          <w:color w:val="111111"/>
          <w:rtl w:val="0"/>
        </w:rPr>
        <w:t xml:space="preserve"> </w:t>
      </w:r>
    </w:p>
    <w:p w:rsidR="00000000" w:rsidDel="00000000" w:rsidP="00000000" w:rsidRDefault="00000000" w:rsidRPr="00000000" w14:paraId="00000026">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27">
      <w:pPr>
        <w:jc w:val="both"/>
        <w:rPr>
          <w:rFonts w:ascii="Barlow" w:cs="Barlow" w:eastAsia="Barlow" w:hAnsi="Barlow"/>
        </w:rPr>
      </w:pPr>
      <w:r w:rsidDel="00000000" w:rsidR="00000000" w:rsidRPr="00000000">
        <w:rPr>
          <w:rFonts w:ascii="Barlow" w:cs="Barlow" w:eastAsia="Barlow" w:hAnsi="Barlow"/>
          <w:color w:val="111111"/>
          <w:rtl w:val="0"/>
        </w:rPr>
        <w:t xml:space="preserve">La maison des artistes :</w:t>
      </w:r>
      <w:hyperlink r:id="rId9">
        <w:r w:rsidDel="00000000" w:rsidR="00000000" w:rsidRPr="00000000">
          <w:rPr>
            <w:rFonts w:ascii="Barlow" w:cs="Barlow" w:eastAsia="Barlow" w:hAnsi="Barlow"/>
            <w:color w:val="1155cc"/>
            <w:u w:val="single"/>
            <w:rtl w:val="0"/>
          </w:rPr>
          <w:t xml:space="preserve"> les fiches pratiques “activités accessoires”</w:t>
        </w:r>
      </w:hyperlink>
      <w:r w:rsidDel="00000000" w:rsidR="00000000" w:rsidRPr="00000000">
        <w:rPr>
          <w:rFonts w:ascii="Barlow" w:cs="Barlow" w:eastAsia="Barlow" w:hAnsi="Barlow"/>
          <w:color w:val="000081"/>
          <w:rtl w:val="0"/>
        </w:rPr>
        <w:t xml:space="preserve"> </w:t>
      </w:r>
      <w:r w:rsidDel="00000000" w:rsidR="00000000" w:rsidRPr="00000000">
        <w:rPr>
          <w:rFonts w:ascii="Barlow" w:cs="Barlow" w:eastAsia="Barlow" w:hAnsi="Barlow"/>
          <w:rtl w:val="0"/>
        </w:rPr>
        <w:t xml:space="preserve">(adhésion requise)</w:t>
      </w:r>
      <w:r w:rsidDel="00000000" w:rsidR="00000000" w:rsidRPr="00000000">
        <w:rPr>
          <w:rtl w:val="0"/>
        </w:rPr>
      </w:r>
    </w:p>
    <w:p w:rsidR="00000000" w:rsidDel="00000000" w:rsidP="00000000" w:rsidRDefault="00000000" w:rsidRPr="00000000" w14:paraId="00000028">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29">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La web série </w:t>
      </w:r>
      <w:hyperlink r:id="rId10">
        <w:r w:rsidDel="00000000" w:rsidR="00000000" w:rsidRPr="00000000">
          <w:rPr>
            <w:rFonts w:ascii="Barlow" w:cs="Barlow" w:eastAsia="Barlow" w:hAnsi="Barlow"/>
            <w:color w:val="1155cc"/>
            <w:u w:val="single"/>
            <w:rtl w:val="0"/>
          </w:rPr>
          <w:t xml:space="preserve">« au secours je suis un.e artiste »</w:t>
        </w:r>
      </w:hyperlink>
      <w:r w:rsidDel="00000000" w:rsidR="00000000" w:rsidRPr="00000000">
        <w:rPr>
          <w:rFonts w:ascii="Barlow" w:cs="Barlow" w:eastAsia="Barlow" w:hAnsi="Barlow"/>
          <w:color w:val="111111"/>
          <w:rtl w:val="0"/>
        </w:rPr>
        <w:t xml:space="preserve"> de Mathilde Ehret-Zoghi de l’agence Maze </w:t>
      </w:r>
    </w:p>
    <w:p w:rsidR="00000000" w:rsidDel="00000000" w:rsidP="00000000" w:rsidRDefault="00000000" w:rsidRPr="00000000" w14:paraId="0000002A">
      <w:pPr>
        <w:jc w:val="both"/>
        <w:rPr>
          <w:rFonts w:ascii="Barlow" w:cs="Barlow" w:eastAsia="Barlow" w:hAnsi="Barlow"/>
          <w:color w:val="111111"/>
        </w:rPr>
      </w:pPr>
      <w:r w:rsidDel="00000000" w:rsidR="00000000" w:rsidRPr="00000000">
        <w:rPr>
          <w:rtl w:val="0"/>
        </w:rPr>
      </w:r>
    </w:p>
    <w:p w:rsidR="00000000" w:rsidDel="00000000" w:rsidP="00000000" w:rsidRDefault="00000000" w:rsidRPr="00000000" w14:paraId="0000002B">
      <w:pPr>
        <w:jc w:val="both"/>
        <w:rPr>
          <w:rFonts w:ascii="Barlow" w:cs="Barlow" w:eastAsia="Barlow" w:hAnsi="Barlow"/>
          <w:color w:val="111111"/>
        </w:rPr>
      </w:pPr>
      <w:hyperlink r:id="rId11">
        <w:r w:rsidDel="00000000" w:rsidR="00000000" w:rsidRPr="00000000">
          <w:rPr>
            <w:rFonts w:ascii="Barlow" w:cs="Barlow" w:eastAsia="Barlow" w:hAnsi="Barlow"/>
            <w:color w:val="1155cc"/>
            <w:u w:val="single"/>
            <w:rtl w:val="0"/>
          </w:rPr>
          <w:t xml:space="preserve">INSTRUCTION INTERMINISTÉRIELLE N° DSS/5B/DGCA/2023/6 du 12 janvier 2023</w:t>
        </w:r>
      </w:hyperlink>
      <w:r w:rsidDel="00000000" w:rsidR="00000000" w:rsidRPr="00000000">
        <w:rPr>
          <w:rFonts w:ascii="Barlow" w:cs="Barlow" w:eastAsia="Barlow" w:hAnsi="Barlow"/>
          <w:color w:val="111111"/>
          <w:rtl w:val="0"/>
        </w:rPr>
        <w:t xml:space="preserve"> relative</w:t>
      </w:r>
    </w:p>
    <w:p w:rsidR="00000000" w:rsidDel="00000000" w:rsidP="00000000" w:rsidRDefault="00000000" w:rsidRPr="00000000" w14:paraId="0000002C">
      <w:pPr>
        <w:jc w:val="both"/>
        <w:rPr>
          <w:rFonts w:ascii="Barlow" w:cs="Barlow" w:eastAsia="Barlow" w:hAnsi="Barlow"/>
          <w:color w:val="111111"/>
        </w:rPr>
      </w:pPr>
      <w:r w:rsidDel="00000000" w:rsidR="00000000" w:rsidRPr="00000000">
        <w:rPr>
          <w:rFonts w:ascii="Barlow" w:cs="Barlow" w:eastAsia="Barlow" w:hAnsi="Barlow"/>
          <w:color w:val="111111"/>
          <w:rtl w:val="0"/>
        </w:rPr>
        <w:t xml:space="preserve">aux revenus tirés d'activités artistiques relevant de l'article L. 382-3 du code de la sécurité sociale</w:t>
      </w:r>
    </w:p>
    <w:p w:rsidR="00000000" w:rsidDel="00000000" w:rsidP="00000000" w:rsidRDefault="00000000" w:rsidRPr="00000000" w14:paraId="0000002D">
      <w:pPr>
        <w:jc w:val="both"/>
        <w:rPr>
          <w:rFonts w:ascii="Barlow" w:cs="Barlow" w:eastAsia="Barlow" w:hAnsi="Barlow"/>
          <w:color w:val="111111"/>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inline distB="114300" distT="114300" distL="114300" distR="114300">
          <wp:extent cx="1109663" cy="62179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6217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drive/u/0/folders/1gFs_lZ_hHN6lDyZfZqS1bs8pQgAN4pA2" TargetMode="External"/><Relationship Id="rId10" Type="http://schemas.openxmlformats.org/officeDocument/2006/relationships/hyperlink" Target="https://www.cnap.fr/au-secours-je-suis-artiste" TargetMode="External"/><Relationship Id="rId12" Type="http://schemas.openxmlformats.org/officeDocument/2006/relationships/header" Target="header1.xml"/><Relationship Id="rId9" Type="http://schemas.openxmlformats.org/officeDocument/2006/relationships/hyperlink" Target="https://www.lamaisondesartistes.fr/site/les-fiches-pratiques/" TargetMode="External"/><Relationship Id="rId5" Type="http://schemas.openxmlformats.org/officeDocument/2006/relationships/styles" Target="styles.xml"/><Relationship Id="rId6" Type="http://schemas.openxmlformats.org/officeDocument/2006/relationships/hyperlink" Target="https://www.legifrance.gouv.fr/jorf/id/JORFTEXT000042284065/#:~:text=Copier%20le%20texte-,D%C3%A9cret%20n%C2%B0%202020-1095%20du%2028%20ao%C3%BBt%202020%20relatif,code%20de%20la%20s%C3%A9curit%C3%A9%20sociale" TargetMode="External"/><Relationship Id="rId7" Type="http://schemas.openxmlformats.org/officeDocument/2006/relationships/hyperlink" Target="https://caap.asso.fr/spip.php?article1093" TargetMode="External"/><Relationship Id="rId8" Type="http://schemas.openxmlformats.org/officeDocument/2006/relationships/hyperlink" Target="https://www.secu-artistes-auteurs.fr/aide-et-contacts?%20question=activites-considerees-comme-activites-accessoi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